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2610" w:type="dxa"/>
        <w:tblLayout w:type="fixed"/>
        <w:tblCellMar>
          <w:left w:w="0" w:type="dxa"/>
          <w:right w:w="0" w:type="dxa"/>
        </w:tblCellMar>
        <w:tblLook w:val="0000" w:firstRow="0" w:lastRow="0" w:firstColumn="0" w:lastColumn="0" w:noHBand="0" w:noVBand="0"/>
      </w:tblPr>
      <w:tblGrid>
        <w:gridCol w:w="6750"/>
      </w:tblGrid>
      <w:tr w:rsidR="00C145A6" w:rsidRPr="00FB7728" w14:paraId="3A7BCE98" w14:textId="77777777">
        <w:tc>
          <w:tcPr>
            <w:tcW w:w="6750" w:type="dxa"/>
            <w:vAlign w:val="center"/>
          </w:tcPr>
          <w:p w14:paraId="32791EA3" w14:textId="77777777" w:rsidR="0014520E" w:rsidRDefault="00C145A6" w:rsidP="004B46EB">
            <w:pPr>
              <w:rPr>
                <w:rFonts w:ascii="Bookman Old Style" w:hAnsi="Bookman Old Style"/>
                <w:sz w:val="22"/>
              </w:rPr>
            </w:pPr>
            <w:r w:rsidRPr="00FB7728">
              <w:rPr>
                <w:rFonts w:ascii="Bookman Old Style" w:hAnsi="Bookman Old Style"/>
                <w:sz w:val="22"/>
              </w:rPr>
              <w:fldChar w:fldCharType="begin"/>
            </w:r>
            <w:r w:rsidRPr="00FB7728">
              <w:rPr>
                <w:rFonts w:ascii="Bookman Old Style" w:hAnsi="Bookman Old Style"/>
                <w:sz w:val="22"/>
              </w:rPr>
              <w:instrText>PRIVATE</w:instrText>
            </w:r>
            <w:r w:rsidRPr="00FB7728">
              <w:rPr>
                <w:rFonts w:ascii="Bookman Old Style" w:hAnsi="Bookman Old Style"/>
                <w:sz w:val="22"/>
              </w:rPr>
              <w:fldChar w:fldCharType="end"/>
            </w:r>
            <w:r w:rsidRPr="00FB7728">
              <w:rPr>
                <w:rFonts w:ascii="Bookman Old Style" w:hAnsi="Bookman Old Style"/>
                <w:sz w:val="22"/>
              </w:rPr>
              <w:t xml:space="preserve"> </w:t>
            </w:r>
          </w:p>
          <w:p w14:paraId="6F81B6D3" w14:textId="77777777" w:rsidR="0014520E" w:rsidRDefault="0014520E" w:rsidP="004B46EB">
            <w:pPr>
              <w:rPr>
                <w:rFonts w:ascii="Bookman Old Style" w:hAnsi="Bookman Old Style"/>
                <w:sz w:val="22"/>
              </w:rPr>
            </w:pPr>
          </w:p>
          <w:p w14:paraId="2CAB161B" w14:textId="71639E57" w:rsidR="00C145A6" w:rsidRPr="00C053EF" w:rsidRDefault="0014520E" w:rsidP="004B46EB">
            <w:pPr>
              <w:rPr>
                <w:rFonts w:ascii="Bookman Old Style" w:hAnsi="Bookman Old Style"/>
                <w:sz w:val="52"/>
                <w:szCs w:val="52"/>
              </w:rPr>
            </w:pPr>
            <w:r w:rsidRPr="002E6C3C">
              <w:rPr>
                <w:rFonts w:ascii="Bookman Old Style" w:hAnsi="Bookman Old Style"/>
                <w:b/>
                <w:color w:val="0070C0"/>
                <w:sz w:val="52"/>
                <w:szCs w:val="52"/>
              </w:rPr>
              <w:t>B</w:t>
            </w:r>
            <w:r w:rsidR="00C145A6" w:rsidRPr="002E6C3C">
              <w:rPr>
                <w:rFonts w:ascii="Bookman Old Style" w:hAnsi="Bookman Old Style"/>
                <w:b/>
                <w:color w:val="0070C0"/>
                <w:sz w:val="52"/>
                <w:szCs w:val="52"/>
              </w:rPr>
              <w:t>io-thesiomete</w:t>
            </w:r>
            <w:r w:rsidR="00476228" w:rsidRPr="002E6C3C">
              <w:rPr>
                <w:rFonts w:ascii="Bookman Old Style" w:hAnsi="Bookman Old Style"/>
                <w:b/>
                <w:color w:val="0070C0"/>
                <w:sz w:val="52"/>
                <w:szCs w:val="52"/>
              </w:rPr>
              <w:t>r</w:t>
            </w:r>
          </w:p>
        </w:tc>
      </w:tr>
      <w:tr w:rsidR="00C145A6" w:rsidRPr="00FB7728" w14:paraId="3D83E2CF" w14:textId="77777777">
        <w:tc>
          <w:tcPr>
            <w:tcW w:w="6750" w:type="dxa"/>
          </w:tcPr>
          <w:p w14:paraId="43BB9CEF" w14:textId="77777777" w:rsidR="00C145A6" w:rsidRPr="00FB7728" w:rsidRDefault="00C145A6">
            <w:pPr>
              <w:rPr>
                <w:rFonts w:ascii="Bookman Old Style" w:hAnsi="Bookman Old Style"/>
                <w:b/>
                <w:sz w:val="22"/>
              </w:rPr>
            </w:pPr>
          </w:p>
          <w:p w14:paraId="20F51B0C" w14:textId="77777777" w:rsidR="0014520E" w:rsidRDefault="0014520E">
            <w:pPr>
              <w:rPr>
                <w:rFonts w:ascii="Bookman Old Style" w:hAnsi="Bookman Old Style"/>
                <w:b/>
                <w:noProof/>
                <w:sz w:val="22"/>
              </w:rPr>
            </w:pPr>
          </w:p>
          <w:p w14:paraId="15D39E0E" w14:textId="77777777" w:rsidR="0014520E" w:rsidRDefault="0014520E">
            <w:pPr>
              <w:rPr>
                <w:rFonts w:ascii="Bookman Old Style" w:hAnsi="Bookman Old Style"/>
                <w:b/>
                <w:noProof/>
                <w:sz w:val="22"/>
              </w:rPr>
            </w:pPr>
          </w:p>
          <w:p w14:paraId="6685A2B8" w14:textId="77777777" w:rsidR="0014520E" w:rsidRDefault="0014520E">
            <w:pPr>
              <w:rPr>
                <w:rFonts w:ascii="Bookman Old Style" w:hAnsi="Bookman Old Style"/>
                <w:b/>
                <w:noProof/>
                <w:sz w:val="22"/>
              </w:rPr>
            </w:pPr>
          </w:p>
          <w:p w14:paraId="00A35F63" w14:textId="77777777" w:rsidR="0014520E" w:rsidRDefault="0014520E">
            <w:pPr>
              <w:rPr>
                <w:rFonts w:ascii="Bookman Old Style" w:hAnsi="Bookman Old Style"/>
                <w:b/>
                <w:noProof/>
                <w:sz w:val="22"/>
              </w:rPr>
            </w:pPr>
          </w:p>
          <w:p w14:paraId="0602FD94" w14:textId="77777777" w:rsidR="0014520E" w:rsidRDefault="0014520E">
            <w:pPr>
              <w:rPr>
                <w:rFonts w:ascii="Bookman Old Style" w:hAnsi="Bookman Old Style"/>
                <w:b/>
                <w:noProof/>
                <w:sz w:val="22"/>
              </w:rPr>
            </w:pPr>
          </w:p>
          <w:p w14:paraId="51D56A74" w14:textId="77777777" w:rsidR="0014520E" w:rsidRDefault="0014520E">
            <w:pPr>
              <w:rPr>
                <w:rFonts w:ascii="Bookman Old Style" w:hAnsi="Bookman Old Style"/>
                <w:b/>
                <w:noProof/>
                <w:sz w:val="22"/>
              </w:rPr>
            </w:pPr>
          </w:p>
          <w:p w14:paraId="5785BA92" w14:textId="77777777" w:rsidR="0014520E" w:rsidRDefault="0014520E">
            <w:pPr>
              <w:rPr>
                <w:rFonts w:ascii="Bookman Old Style" w:hAnsi="Bookman Old Style"/>
                <w:b/>
                <w:noProof/>
                <w:sz w:val="22"/>
              </w:rPr>
            </w:pPr>
          </w:p>
          <w:p w14:paraId="5820753E" w14:textId="77777777" w:rsidR="0014520E" w:rsidRDefault="0014520E">
            <w:pPr>
              <w:rPr>
                <w:rFonts w:ascii="Bookman Old Style" w:hAnsi="Bookman Old Style"/>
                <w:b/>
                <w:noProof/>
                <w:sz w:val="22"/>
              </w:rPr>
            </w:pPr>
          </w:p>
          <w:p w14:paraId="3193AD57" w14:textId="77777777" w:rsidR="0014520E" w:rsidRDefault="0014520E">
            <w:pPr>
              <w:rPr>
                <w:rFonts w:ascii="Bookman Old Style" w:hAnsi="Bookman Old Style"/>
                <w:b/>
                <w:noProof/>
                <w:sz w:val="22"/>
              </w:rPr>
            </w:pPr>
          </w:p>
          <w:p w14:paraId="6A287B02" w14:textId="669490F2" w:rsidR="00C145A6" w:rsidRPr="00FB7728" w:rsidRDefault="004B46EB">
            <w:pPr>
              <w:rPr>
                <w:rFonts w:ascii="Bookman Old Style" w:hAnsi="Bookman Old Style"/>
                <w:sz w:val="22"/>
              </w:rPr>
            </w:pPr>
            <w:r w:rsidRPr="00FB7728">
              <w:rPr>
                <w:rFonts w:ascii="Bookman Old Style" w:hAnsi="Bookman Old Style"/>
                <w:b/>
                <w:noProof/>
                <w:sz w:val="22"/>
              </w:rPr>
              <w:drawing>
                <wp:anchor distT="0" distB="0" distL="114300" distR="114300" simplePos="0" relativeHeight="251657728" behindDoc="0" locked="0" layoutInCell="0" allowOverlap="1" wp14:anchorId="7CADF31F" wp14:editId="3262CE60">
                  <wp:simplePos x="0" y="0"/>
                  <wp:positionH relativeFrom="column">
                    <wp:posOffset>58420</wp:posOffset>
                  </wp:positionH>
                  <wp:positionV relativeFrom="page">
                    <wp:posOffset>902335</wp:posOffset>
                  </wp:positionV>
                  <wp:extent cx="2981325" cy="2981325"/>
                  <wp:effectExtent l="0" t="0" r="9525" b="9525"/>
                  <wp:wrapNone/>
                  <wp:docPr id="3"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lede 1"/>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2981325" cy="29813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03F317" w14:textId="77777777" w:rsidR="00C145A6" w:rsidRPr="00FB7728" w:rsidRDefault="00C145A6">
            <w:pPr>
              <w:rPr>
                <w:rFonts w:ascii="Bookman Old Style" w:hAnsi="Bookman Old Style"/>
                <w:sz w:val="22"/>
              </w:rPr>
            </w:pPr>
          </w:p>
          <w:p w14:paraId="68917A64" w14:textId="77777777" w:rsidR="00C145A6" w:rsidRPr="00FB7728" w:rsidRDefault="00C145A6">
            <w:pPr>
              <w:rPr>
                <w:rFonts w:ascii="Bookman Old Style" w:hAnsi="Bookman Old Style"/>
                <w:sz w:val="22"/>
              </w:rPr>
            </w:pPr>
          </w:p>
          <w:p w14:paraId="301141A5" w14:textId="77777777" w:rsidR="00C145A6" w:rsidRPr="00FB7728" w:rsidRDefault="00C145A6">
            <w:pPr>
              <w:rPr>
                <w:rFonts w:ascii="Bookman Old Style" w:hAnsi="Bookman Old Style"/>
                <w:sz w:val="22"/>
              </w:rPr>
            </w:pPr>
          </w:p>
          <w:p w14:paraId="21101F53" w14:textId="77777777" w:rsidR="00C145A6" w:rsidRPr="00FB7728" w:rsidRDefault="00C145A6">
            <w:pPr>
              <w:rPr>
                <w:rFonts w:ascii="Bookman Old Style" w:hAnsi="Bookman Old Style"/>
                <w:sz w:val="22"/>
              </w:rPr>
            </w:pPr>
          </w:p>
          <w:p w14:paraId="028E7877" w14:textId="77777777" w:rsidR="00C145A6" w:rsidRPr="00FB7728" w:rsidRDefault="00C145A6">
            <w:pPr>
              <w:rPr>
                <w:rFonts w:ascii="Bookman Old Style" w:hAnsi="Bookman Old Style"/>
                <w:sz w:val="22"/>
              </w:rPr>
            </w:pPr>
          </w:p>
          <w:p w14:paraId="2EB02162" w14:textId="77777777" w:rsidR="00C145A6" w:rsidRPr="00FB7728" w:rsidRDefault="00C145A6">
            <w:pPr>
              <w:rPr>
                <w:rFonts w:ascii="Bookman Old Style" w:hAnsi="Bookman Old Style"/>
                <w:sz w:val="22"/>
              </w:rPr>
            </w:pPr>
          </w:p>
          <w:p w14:paraId="35FD7044" w14:textId="77777777" w:rsidR="00C145A6" w:rsidRPr="00FB7728" w:rsidRDefault="00C145A6">
            <w:pPr>
              <w:rPr>
                <w:rFonts w:ascii="Bookman Old Style" w:hAnsi="Bookman Old Style"/>
                <w:sz w:val="22"/>
              </w:rPr>
            </w:pPr>
          </w:p>
          <w:p w14:paraId="56C8AC01" w14:textId="77777777" w:rsidR="00C145A6" w:rsidRPr="00FB7728" w:rsidRDefault="00C145A6">
            <w:pPr>
              <w:rPr>
                <w:rFonts w:ascii="Bookman Old Style" w:hAnsi="Bookman Old Style"/>
                <w:sz w:val="22"/>
              </w:rPr>
            </w:pPr>
          </w:p>
          <w:p w14:paraId="6B7B9141" w14:textId="77777777" w:rsidR="00C145A6" w:rsidRPr="00FB7728" w:rsidRDefault="00C145A6">
            <w:pPr>
              <w:rPr>
                <w:rFonts w:ascii="Bookman Old Style" w:hAnsi="Bookman Old Style"/>
                <w:sz w:val="22"/>
              </w:rPr>
            </w:pPr>
          </w:p>
          <w:p w14:paraId="08FC11C2" w14:textId="2F3D9A95" w:rsidR="00E269B2" w:rsidRPr="00E269B2" w:rsidRDefault="00E269B2">
            <w:pPr>
              <w:rPr>
                <w:rFonts w:ascii="Bookman Old Style" w:hAnsi="Bookman Old Style"/>
                <w:b/>
                <w:bCs/>
                <w:sz w:val="22"/>
              </w:rPr>
            </w:pPr>
            <w:r w:rsidRPr="00E269B2">
              <w:rPr>
                <w:rFonts w:ascii="Bookman Old Style" w:hAnsi="Bookman Old Style"/>
                <w:b/>
                <w:bCs/>
                <w:sz w:val="22"/>
              </w:rPr>
              <w:lastRenderedPageBreak/>
              <w:t>HVAD ER ET BIO-</w:t>
            </w:r>
            <w:r w:rsidR="004B46EB" w:rsidRPr="00E269B2">
              <w:rPr>
                <w:rFonts w:ascii="Bookman Old Style" w:hAnsi="Bookman Old Style"/>
                <w:b/>
                <w:bCs/>
                <w:sz w:val="22"/>
              </w:rPr>
              <w:t>THESIOMETER?</w:t>
            </w:r>
          </w:p>
          <w:p w14:paraId="7ED7DD9C" w14:textId="552F0C6A" w:rsidR="00C145A6" w:rsidRPr="00FB7728" w:rsidRDefault="00C053EF">
            <w:pPr>
              <w:rPr>
                <w:rFonts w:ascii="Bookman Old Style" w:hAnsi="Bookman Old Style"/>
                <w:sz w:val="22"/>
              </w:rPr>
            </w:pPr>
            <w:r>
              <w:rPr>
                <w:rFonts w:ascii="Bookman Old Style" w:hAnsi="Bookman Old Style"/>
                <w:sz w:val="22"/>
              </w:rPr>
              <w:t>E</w:t>
            </w:r>
            <w:r w:rsidR="00C145A6" w:rsidRPr="00FB7728">
              <w:rPr>
                <w:rFonts w:ascii="Bookman Old Style" w:hAnsi="Bookman Old Style"/>
                <w:sz w:val="22"/>
              </w:rPr>
              <w:t xml:space="preserve">t Bio-thesiometer er et elektrisk måleinstrument, som er konstrueret til, nemt og præcist, ved hjælp af vibrationer, at </w:t>
            </w:r>
            <w:r w:rsidRPr="00FB7728">
              <w:rPr>
                <w:rFonts w:ascii="Bookman Old Style" w:hAnsi="Bookman Old Style"/>
                <w:sz w:val="22"/>
              </w:rPr>
              <w:t>måle, hvor</w:t>
            </w:r>
            <w:r w:rsidR="00C145A6" w:rsidRPr="00FB7728">
              <w:rPr>
                <w:rFonts w:ascii="Bookman Old Style" w:hAnsi="Bookman Old Style"/>
                <w:sz w:val="22"/>
              </w:rPr>
              <w:t xml:space="preserve"> stor spænding der skal til før følenerverne påvirkes, så de registrerer noget. Et Bio-Thesiometer kan måle mere præcist end en stemmegaffel, og kan måle neurologiske forandringer, som en stemmegaffel ikke vil kunne registrere.</w:t>
            </w:r>
          </w:p>
          <w:p w14:paraId="3A5D974B" w14:textId="77777777" w:rsidR="00C145A6" w:rsidRPr="00FB7728" w:rsidRDefault="00C145A6">
            <w:pPr>
              <w:rPr>
                <w:rFonts w:ascii="Bookman Old Style" w:hAnsi="Bookman Old Style"/>
                <w:sz w:val="22"/>
              </w:rPr>
            </w:pPr>
          </w:p>
          <w:p w14:paraId="3381E832" w14:textId="37F1CF6E" w:rsidR="00C145A6" w:rsidRPr="00FB7728" w:rsidRDefault="00C145A6">
            <w:pPr>
              <w:rPr>
                <w:rFonts w:ascii="Bookman Old Style" w:hAnsi="Bookman Old Style"/>
                <w:b/>
                <w:sz w:val="22"/>
              </w:rPr>
            </w:pPr>
            <w:r w:rsidRPr="00FB7728">
              <w:rPr>
                <w:rFonts w:ascii="Bookman Old Style" w:hAnsi="Bookman Old Style"/>
                <w:b/>
                <w:sz w:val="22"/>
              </w:rPr>
              <w:t>Hvornår anvendes et Bio-Thesiom</w:t>
            </w:r>
            <w:r w:rsidR="00C053EF">
              <w:rPr>
                <w:rFonts w:ascii="Bookman Old Style" w:hAnsi="Bookman Old Style"/>
                <w:b/>
                <w:sz w:val="22"/>
              </w:rPr>
              <w:t>e</w:t>
            </w:r>
            <w:r w:rsidRPr="00FB7728">
              <w:rPr>
                <w:rFonts w:ascii="Bookman Old Style" w:hAnsi="Bookman Old Style"/>
                <w:b/>
                <w:sz w:val="22"/>
              </w:rPr>
              <w:t>ter?</w:t>
            </w:r>
          </w:p>
          <w:p w14:paraId="66B14494" w14:textId="53177654" w:rsidR="00C145A6" w:rsidRPr="00FB7728" w:rsidRDefault="00C145A6">
            <w:pPr>
              <w:rPr>
                <w:rFonts w:ascii="Bookman Old Style" w:hAnsi="Bookman Old Style"/>
                <w:sz w:val="22"/>
              </w:rPr>
            </w:pPr>
            <w:r w:rsidRPr="00FB7728">
              <w:rPr>
                <w:rFonts w:ascii="Bookman Old Style" w:hAnsi="Bookman Old Style"/>
                <w:sz w:val="22"/>
              </w:rPr>
              <w:t xml:space="preserve">Hos patienter med Diabetes, hvor man ønsker at undersøge for </w:t>
            </w:r>
            <w:r w:rsidR="00C053EF" w:rsidRPr="00FB7728">
              <w:rPr>
                <w:rFonts w:ascii="Bookman Old Style" w:hAnsi="Bookman Old Style"/>
                <w:sz w:val="22"/>
              </w:rPr>
              <w:t>Neuropatisk</w:t>
            </w:r>
            <w:r w:rsidRPr="00FB7728">
              <w:rPr>
                <w:rFonts w:ascii="Bookman Old Style" w:hAnsi="Bookman Old Style"/>
                <w:sz w:val="22"/>
              </w:rPr>
              <w:t>, nervesygdom hvor følenerverne, og de nerver der styrer svedkirtler og andre vævsstrukturer ødelægges på grund af det uregelmæssige blodsukkerniveau. Herved ophører følesansen gradvist, det betyder, at musklerne, huden og svedkirtlerne ikke får de rigtige styreimpulser, der er nødvendige for gangfunktionen og fodens øvrige funktioner.</w:t>
            </w:r>
            <w:r w:rsidRPr="00FB7728">
              <w:rPr>
                <w:rFonts w:ascii="Bookman Old Style" w:hAnsi="Bookman Old Style"/>
                <w:sz w:val="22"/>
              </w:rPr>
              <w:br/>
              <w:t xml:space="preserve">Det betyder også helt konkret, at man for eksempel ikke kan mærke, hvis foden udsættes for uhensigtsmæssige påvirkninger. Det kan være påvirkninger </w:t>
            </w:r>
            <w:r w:rsidR="00C053EF" w:rsidRPr="00FB7728">
              <w:rPr>
                <w:rFonts w:ascii="Bookman Old Style" w:hAnsi="Bookman Old Style"/>
                <w:sz w:val="22"/>
              </w:rPr>
              <w:t>fra en</w:t>
            </w:r>
            <w:r w:rsidRPr="00FB7728">
              <w:rPr>
                <w:rFonts w:ascii="Bookman Old Style" w:hAnsi="Bookman Old Style"/>
                <w:sz w:val="22"/>
              </w:rPr>
              <w:t xml:space="preserve"> sten eller andre fremmedlegemer i skoene, eller tryk fra skoene selv. </w:t>
            </w:r>
            <w:r w:rsidRPr="00FB7728">
              <w:rPr>
                <w:rFonts w:ascii="Bookman Old Style" w:hAnsi="Bookman Old Style"/>
                <w:sz w:val="22"/>
              </w:rPr>
              <w:br/>
              <w:t xml:space="preserve">Diagnosen </w:t>
            </w:r>
            <w:r w:rsidR="00C053EF" w:rsidRPr="00FB7728">
              <w:rPr>
                <w:rFonts w:ascii="Bookman Old Style" w:hAnsi="Bookman Old Style"/>
                <w:sz w:val="22"/>
              </w:rPr>
              <w:t>neuropatisk</w:t>
            </w:r>
            <w:r w:rsidRPr="00FB7728">
              <w:rPr>
                <w:rFonts w:ascii="Bookman Old Style" w:hAnsi="Bookman Old Style"/>
                <w:sz w:val="22"/>
              </w:rPr>
              <w:t xml:space="preserve"> stilles hos en fodterapeut eller læge ved hjælp af </w:t>
            </w:r>
            <w:r w:rsidR="00C053EF" w:rsidRPr="00FB7728">
              <w:rPr>
                <w:rFonts w:ascii="Bookman Old Style" w:hAnsi="Bookman Old Style"/>
                <w:sz w:val="22"/>
              </w:rPr>
              <w:t>et Bio</w:t>
            </w:r>
            <w:r w:rsidRPr="00FB7728">
              <w:rPr>
                <w:rFonts w:ascii="Bookman Old Style" w:hAnsi="Bookman Old Style"/>
                <w:sz w:val="22"/>
              </w:rPr>
              <w:t>-Thesiometer. Det måler, hvor meget der skal til, før følenerverne påvirkes, så de registrerer noget.</w:t>
            </w:r>
          </w:p>
          <w:p w14:paraId="46AABBB9" w14:textId="77777777" w:rsidR="00C145A6" w:rsidRPr="00FB7728" w:rsidRDefault="00C145A6">
            <w:pPr>
              <w:rPr>
                <w:rFonts w:ascii="Bookman Old Style" w:hAnsi="Bookman Old Style"/>
                <w:b/>
                <w:sz w:val="22"/>
              </w:rPr>
            </w:pPr>
            <w:r w:rsidRPr="00FB7728">
              <w:rPr>
                <w:rFonts w:ascii="Bookman Old Style" w:hAnsi="Bookman Old Style"/>
                <w:b/>
                <w:sz w:val="22"/>
              </w:rPr>
              <w:t>Hvordan anvendes et Bio-Thesiometer?</w:t>
            </w:r>
          </w:p>
          <w:p w14:paraId="0A38A95D" w14:textId="77777777" w:rsidR="00C145A6" w:rsidRPr="00FB7728" w:rsidRDefault="00C145A6">
            <w:pPr>
              <w:rPr>
                <w:rFonts w:ascii="Bookman Old Style" w:hAnsi="Bookman Old Style"/>
                <w:sz w:val="22"/>
              </w:rPr>
            </w:pPr>
            <w:r w:rsidRPr="00FB7728">
              <w:rPr>
                <w:rFonts w:ascii="Bookman Old Style" w:hAnsi="Bookman Old Style"/>
                <w:sz w:val="22"/>
              </w:rPr>
              <w:t>Testpersonen bør være anbragt i en afslappet position, siddende eller liggende. Vibratorens amplitude forøges fra nul, -indtil det punkt, hvor vibrationen netop er mærkbar, dette kaldes “tærsklen”.</w:t>
            </w:r>
          </w:p>
          <w:p w14:paraId="3AC616F3" w14:textId="61EB87C6" w:rsidR="00C145A6" w:rsidRPr="00FB7728" w:rsidRDefault="00C053EF">
            <w:pPr>
              <w:rPr>
                <w:rFonts w:ascii="Bookman Old Style" w:hAnsi="Bookman Old Style"/>
                <w:sz w:val="22"/>
              </w:rPr>
            </w:pPr>
            <w:r w:rsidRPr="00FB7728">
              <w:rPr>
                <w:rFonts w:ascii="Bookman Old Style" w:hAnsi="Bookman Old Style"/>
                <w:sz w:val="22"/>
              </w:rPr>
              <w:t>Hvis testpersonen</w:t>
            </w:r>
            <w:r w:rsidR="00C145A6" w:rsidRPr="00FB7728">
              <w:rPr>
                <w:rFonts w:ascii="Bookman Old Style" w:hAnsi="Bookman Old Style"/>
                <w:sz w:val="22"/>
              </w:rPr>
              <w:t xml:space="preserve"> aldrig har været testet før, anbringes vibratoren først på et punkt, der ikke skal inkluderes i testen, således at patienten får en fornemmelse af, hvordan det føles under tærsklen, på tærsklen og over tærsklen.</w:t>
            </w:r>
          </w:p>
          <w:p w14:paraId="5C6B2AAA" w14:textId="0EBCDF8D" w:rsidR="00C145A6" w:rsidRPr="00FB7728" w:rsidRDefault="00C145A6">
            <w:pPr>
              <w:rPr>
                <w:rFonts w:ascii="Bookman Old Style" w:hAnsi="Bookman Old Style"/>
                <w:sz w:val="22"/>
              </w:rPr>
            </w:pPr>
            <w:r w:rsidRPr="00FB7728">
              <w:rPr>
                <w:rFonts w:ascii="Bookman Old Style" w:hAnsi="Bookman Old Style"/>
                <w:sz w:val="22"/>
              </w:rPr>
              <w:t xml:space="preserve">Faktorer der kan have indflydelse på </w:t>
            </w:r>
            <w:r w:rsidR="00C053EF" w:rsidRPr="00FB7728">
              <w:rPr>
                <w:rFonts w:ascii="Bookman Old Style" w:hAnsi="Bookman Old Style"/>
                <w:sz w:val="22"/>
              </w:rPr>
              <w:t>vibrationstærsklen,</w:t>
            </w:r>
            <w:r w:rsidRPr="00FB7728">
              <w:rPr>
                <w:rFonts w:ascii="Bookman Old Style" w:hAnsi="Bookman Old Style"/>
                <w:sz w:val="22"/>
              </w:rPr>
              <w:t xml:space="preserve"> er bl.a., fedtvæv, fedme, træthed, samt variationer på forskellige hudområder.</w:t>
            </w:r>
          </w:p>
          <w:p w14:paraId="1650930D" w14:textId="77777777" w:rsidR="00C145A6" w:rsidRPr="00FB7728" w:rsidRDefault="00C145A6">
            <w:pPr>
              <w:rPr>
                <w:rFonts w:ascii="Bookman Old Style" w:hAnsi="Bookman Old Style"/>
                <w:sz w:val="22"/>
              </w:rPr>
            </w:pPr>
            <w:r w:rsidRPr="00FB7728">
              <w:rPr>
                <w:rFonts w:ascii="Bookman Old Style" w:hAnsi="Bookman Old Style"/>
                <w:sz w:val="22"/>
              </w:rPr>
              <w:t>Tærsklen er lavere hos børn og unge, end hos voksne over 50 år, med andre ord tærsklen stiger med alderen.</w:t>
            </w:r>
          </w:p>
          <w:p w14:paraId="2C2624A7" w14:textId="77777777" w:rsidR="00C145A6" w:rsidRPr="00FB7728" w:rsidRDefault="00C145A6">
            <w:pPr>
              <w:rPr>
                <w:rFonts w:ascii="Bookman Old Style" w:hAnsi="Bookman Old Style"/>
                <w:sz w:val="22"/>
              </w:rPr>
            </w:pPr>
          </w:p>
          <w:p w14:paraId="4E58E6B8" w14:textId="77777777" w:rsidR="00C145A6" w:rsidRPr="00FB7728" w:rsidRDefault="00C145A6">
            <w:pPr>
              <w:rPr>
                <w:rFonts w:ascii="Bookman Old Style" w:hAnsi="Bookman Old Style"/>
                <w:b/>
                <w:sz w:val="22"/>
              </w:rPr>
            </w:pPr>
            <w:r w:rsidRPr="00FB7728">
              <w:rPr>
                <w:rFonts w:ascii="Bookman Old Style" w:hAnsi="Bookman Old Style"/>
                <w:b/>
                <w:sz w:val="22"/>
              </w:rPr>
              <w:t>Tolkning af måleresultater.</w:t>
            </w:r>
          </w:p>
          <w:p w14:paraId="3A926510" w14:textId="58F37AA9" w:rsidR="00C145A6" w:rsidRPr="00FB7728" w:rsidRDefault="00C145A6">
            <w:pPr>
              <w:rPr>
                <w:rFonts w:ascii="Bookman Old Style" w:hAnsi="Bookman Old Style"/>
                <w:sz w:val="22"/>
              </w:rPr>
            </w:pPr>
            <w:r w:rsidRPr="00FB7728">
              <w:rPr>
                <w:rFonts w:ascii="Bookman Old Style" w:hAnsi="Bookman Old Style"/>
                <w:sz w:val="22"/>
              </w:rPr>
              <w:t xml:space="preserve">Man vil hurtig opdage, at jo mere man anvender </w:t>
            </w:r>
            <w:r w:rsidR="00C053EF">
              <w:rPr>
                <w:rFonts w:ascii="Bookman Old Style" w:hAnsi="Bookman Old Style"/>
                <w:sz w:val="22"/>
              </w:rPr>
              <w:br/>
            </w:r>
            <w:r w:rsidRPr="00FB7728">
              <w:rPr>
                <w:rFonts w:ascii="Bookman Old Style" w:hAnsi="Bookman Old Style"/>
                <w:sz w:val="22"/>
              </w:rPr>
              <w:t>Bio-Thesiometeret i praksis, jo lettere bliver det at tolke betydningen af måleresultaterne.</w:t>
            </w:r>
          </w:p>
          <w:p w14:paraId="1D3BECD5" w14:textId="77777777" w:rsidR="00C145A6" w:rsidRPr="00FB7728" w:rsidRDefault="00C145A6">
            <w:pPr>
              <w:rPr>
                <w:rFonts w:ascii="Bookman Old Style" w:hAnsi="Bookman Old Style"/>
                <w:sz w:val="22"/>
              </w:rPr>
            </w:pPr>
          </w:p>
          <w:p w14:paraId="1EF96EF0" w14:textId="77777777" w:rsidR="00C145A6" w:rsidRPr="00FB7728" w:rsidRDefault="00C145A6">
            <w:pPr>
              <w:rPr>
                <w:rFonts w:ascii="Bookman Old Style" w:hAnsi="Bookman Old Style"/>
                <w:sz w:val="22"/>
              </w:rPr>
            </w:pPr>
            <w:r w:rsidRPr="00FB7728">
              <w:rPr>
                <w:rFonts w:ascii="Bookman Old Style" w:hAnsi="Bookman Old Style"/>
                <w:sz w:val="22"/>
              </w:rPr>
              <w:t>De vigtigste punkter, der bør understreges er:</w:t>
            </w:r>
          </w:p>
          <w:p w14:paraId="41CC6C85" w14:textId="77777777" w:rsidR="00C145A6" w:rsidRPr="00FB7728" w:rsidRDefault="00C145A6">
            <w:pPr>
              <w:numPr>
                <w:ilvl w:val="0"/>
                <w:numId w:val="1"/>
              </w:numPr>
              <w:rPr>
                <w:rFonts w:ascii="Bookman Old Style" w:hAnsi="Bookman Old Style"/>
                <w:sz w:val="22"/>
              </w:rPr>
            </w:pPr>
            <w:r w:rsidRPr="00FB7728">
              <w:rPr>
                <w:rFonts w:ascii="Bookman Old Style" w:hAnsi="Bookman Old Style"/>
                <w:sz w:val="22"/>
              </w:rPr>
              <w:t>Værdien af vibration afhænger af at nervebanerne er uskadte.</w:t>
            </w:r>
          </w:p>
          <w:p w14:paraId="5A6C1038" w14:textId="77777777" w:rsidR="00C145A6" w:rsidRPr="00FB7728" w:rsidRDefault="00C145A6">
            <w:pPr>
              <w:numPr>
                <w:ilvl w:val="0"/>
                <w:numId w:val="1"/>
              </w:numPr>
              <w:rPr>
                <w:rFonts w:ascii="Bookman Old Style" w:hAnsi="Bookman Old Style"/>
                <w:sz w:val="22"/>
              </w:rPr>
            </w:pPr>
            <w:r w:rsidRPr="00FB7728">
              <w:rPr>
                <w:rFonts w:ascii="Bookman Old Style" w:hAnsi="Bookman Old Style"/>
                <w:sz w:val="22"/>
              </w:rPr>
              <w:t>Bio-Thesiometeret gør det muligt at måle forandringer i denne følsomhedstærskel.</w:t>
            </w:r>
          </w:p>
          <w:p w14:paraId="7EB70F61" w14:textId="151EC836" w:rsidR="00C145A6" w:rsidRPr="00FB7728" w:rsidRDefault="00C145A6">
            <w:pPr>
              <w:numPr>
                <w:ilvl w:val="0"/>
                <w:numId w:val="1"/>
              </w:numPr>
              <w:rPr>
                <w:rFonts w:ascii="Bookman Old Style" w:hAnsi="Bookman Old Style"/>
                <w:sz w:val="22"/>
              </w:rPr>
            </w:pPr>
            <w:r w:rsidRPr="00FB7728">
              <w:rPr>
                <w:rFonts w:ascii="Bookman Old Style" w:hAnsi="Bookman Old Style"/>
                <w:sz w:val="22"/>
              </w:rPr>
              <w:t xml:space="preserve">Forstyrrelser i </w:t>
            </w:r>
            <w:r w:rsidR="00C053EF" w:rsidRPr="00FB7728">
              <w:rPr>
                <w:rFonts w:ascii="Bookman Old Style" w:hAnsi="Bookman Old Style"/>
                <w:sz w:val="22"/>
              </w:rPr>
              <w:t>den følsomhed</w:t>
            </w:r>
            <w:r w:rsidRPr="00FB7728">
              <w:rPr>
                <w:rFonts w:ascii="Bookman Old Style" w:hAnsi="Bookman Old Style"/>
                <w:sz w:val="22"/>
              </w:rPr>
              <w:t xml:space="preserve"> opstår som følge af ændringer opstået langs nervebanerne hvor som helst mellem det periferale </w:t>
            </w:r>
            <w:r w:rsidR="00C053EF" w:rsidRPr="00FB7728">
              <w:rPr>
                <w:rFonts w:ascii="Bookman Old Style" w:hAnsi="Bookman Old Style"/>
                <w:sz w:val="22"/>
              </w:rPr>
              <w:t>receptorer</w:t>
            </w:r>
            <w:r w:rsidRPr="00FB7728">
              <w:rPr>
                <w:rFonts w:ascii="Bookman Old Style" w:hAnsi="Bookman Old Style"/>
                <w:sz w:val="22"/>
              </w:rPr>
              <w:t xml:space="preserve"> og deres ultimative ophør.</w:t>
            </w:r>
          </w:p>
          <w:p w14:paraId="4FD5F0AD" w14:textId="77777777" w:rsidR="00C145A6" w:rsidRPr="00FB7728" w:rsidRDefault="00C145A6">
            <w:pPr>
              <w:numPr>
                <w:ilvl w:val="0"/>
                <w:numId w:val="1"/>
              </w:numPr>
              <w:rPr>
                <w:rFonts w:ascii="Bookman Old Style" w:hAnsi="Bookman Old Style"/>
                <w:sz w:val="22"/>
              </w:rPr>
            </w:pPr>
            <w:r w:rsidRPr="00FB7728">
              <w:rPr>
                <w:rFonts w:ascii="Bookman Old Style" w:hAnsi="Bookman Old Style"/>
                <w:sz w:val="22"/>
              </w:rPr>
              <w:t>Hudområderne giver et fingerpeg til de berørte nervebaner.</w:t>
            </w:r>
          </w:p>
          <w:p w14:paraId="5D7F012D" w14:textId="77777777" w:rsidR="00C145A6" w:rsidRPr="00FB7728" w:rsidRDefault="00C145A6">
            <w:pPr>
              <w:rPr>
                <w:rFonts w:ascii="Bookman Old Style" w:hAnsi="Bookman Old Style"/>
                <w:sz w:val="22"/>
              </w:rPr>
            </w:pPr>
            <w:r w:rsidRPr="00FB7728">
              <w:rPr>
                <w:rFonts w:ascii="Bookman Old Style" w:hAnsi="Bookman Old Style"/>
                <w:sz w:val="22"/>
              </w:rPr>
              <w:fldChar w:fldCharType="begin"/>
            </w:r>
            <w:r w:rsidRPr="00FB7728">
              <w:rPr>
                <w:rFonts w:ascii="Bookman Old Style" w:hAnsi="Bookman Old Style"/>
                <w:sz w:val="22"/>
              </w:rPr>
              <w:instrText>PRIVATE "TYPE=PICT;ALT=Fokus "</w:instrText>
            </w:r>
            <w:r w:rsidRPr="00FB7728">
              <w:rPr>
                <w:rFonts w:ascii="Bookman Old Style" w:hAnsi="Bookman Old Style"/>
                <w:sz w:val="22"/>
              </w:rPr>
              <w:fldChar w:fldCharType="end"/>
            </w:r>
          </w:p>
          <w:p w14:paraId="6C5CFD80" w14:textId="77777777" w:rsidR="00C145A6" w:rsidRPr="00FB7728" w:rsidRDefault="00C145A6">
            <w:pPr>
              <w:framePr w:wrap="auto" w:vAnchor="text" w:hAnchor="text" w:x="1" w:y="1"/>
              <w:rPr>
                <w:rFonts w:ascii="Bookman Old Style" w:hAnsi="Bookman Old Style"/>
                <w:sz w:val="22"/>
              </w:rPr>
            </w:pPr>
            <w:r w:rsidRPr="00FB7728">
              <w:rPr>
                <w:rFonts w:ascii="Bookman Old Style" w:hAnsi="Bookman Old Style"/>
                <w:sz w:val="22"/>
              </w:rPr>
              <w:t xml:space="preserve">5-10% af danske diabetikere har fodsår, og 2% udsættes for små eller store amputationer som følge af sårene. Derfor er forebyggelse af fodsår meget vigtigt. </w:t>
            </w:r>
          </w:p>
          <w:p w14:paraId="467615C1" w14:textId="77777777" w:rsidR="00C145A6" w:rsidRPr="00FB7728" w:rsidRDefault="00C145A6">
            <w:pPr>
              <w:framePr w:wrap="auto" w:vAnchor="text" w:hAnchor="text" w:x="1" w:y="1"/>
              <w:rPr>
                <w:rFonts w:ascii="Bookman Old Style" w:hAnsi="Bookman Old Style"/>
                <w:sz w:val="22"/>
              </w:rPr>
            </w:pPr>
            <w:r w:rsidRPr="00FB7728">
              <w:rPr>
                <w:rFonts w:ascii="Bookman Old Style" w:hAnsi="Bookman Old Style"/>
                <w:sz w:val="22"/>
              </w:rPr>
              <w:fldChar w:fldCharType="begin"/>
            </w:r>
            <w:r w:rsidRPr="00FB7728">
              <w:rPr>
                <w:rFonts w:ascii="Bookman Old Style" w:hAnsi="Bookman Old Style"/>
                <w:sz w:val="22"/>
              </w:rPr>
              <w:instrText>INCLUDEPICTURE  \d  \z "http://www.diabetes.dk/includes/billeder/image.asp?size=300&amp;id=8"</w:instrText>
            </w:r>
            <w:r w:rsidRPr="00FB7728">
              <w:rPr>
                <w:rFonts w:ascii="Bookman Old Style" w:hAnsi="Bookman Old Style"/>
                <w:sz w:val="22"/>
              </w:rPr>
              <w:fldChar w:fldCharType="separate"/>
            </w:r>
            <w:r w:rsidRPr="00FB7728">
              <w:rPr>
                <w:rFonts w:ascii="Bookman Old Style" w:hAnsi="Bookman Old Style"/>
                <w:sz w:val="22"/>
              </w:rPr>
              <w:fldChar w:fldCharType="end"/>
            </w:r>
          </w:p>
          <w:p w14:paraId="3B2D6980" w14:textId="77777777" w:rsidR="00C145A6" w:rsidRPr="00FB7728" w:rsidRDefault="00C145A6">
            <w:pPr>
              <w:rPr>
                <w:rFonts w:ascii="Bookman Old Style" w:hAnsi="Bookman Old Style"/>
                <w:sz w:val="22"/>
              </w:rPr>
            </w:pPr>
            <w:r w:rsidRPr="00FB7728">
              <w:rPr>
                <w:rFonts w:ascii="Bookman Old Style" w:hAnsi="Bookman Old Style"/>
                <w:sz w:val="22"/>
              </w:rPr>
              <w:t>Sårene kan opstå dels pga. nervebetændelse og dels pga. karsygdom men oftest pga. en kombination af kar- og nervesygdom.</w:t>
            </w:r>
            <w:r w:rsidRPr="00FB7728">
              <w:rPr>
                <w:rFonts w:ascii="Bookman Old Style" w:hAnsi="Bookman Old Style"/>
                <w:sz w:val="22"/>
              </w:rPr>
              <w:br/>
            </w:r>
            <w:r w:rsidRPr="00FB7728">
              <w:rPr>
                <w:rFonts w:ascii="Bookman Old Style" w:hAnsi="Bookman Old Style"/>
                <w:sz w:val="22"/>
              </w:rPr>
              <w:br/>
              <w:t xml:space="preserve">Den nedsatte følesans pga. nervebetændelsen gør, at man ikke så let lægger mærke til om der er fremmedlegemer (sten, søm etc.) i fodtøjet eller om fodtøjet klemmer. Derfor opstår der let sår. </w:t>
            </w:r>
            <w:r w:rsidRPr="00FB7728">
              <w:rPr>
                <w:rFonts w:ascii="Bookman Old Style" w:hAnsi="Bookman Old Style"/>
                <w:sz w:val="22"/>
              </w:rPr>
              <w:br/>
            </w:r>
            <w:r w:rsidRPr="00FB7728">
              <w:rPr>
                <w:rFonts w:ascii="Bookman Old Style" w:hAnsi="Bookman Old Style"/>
                <w:sz w:val="22"/>
              </w:rPr>
              <w:br/>
              <w:t xml:space="preserve">Karsygdommen fører til nedsat blodforsyning til tæer og fødder og fører til nedsat levedygtighed af huden og vævene i foden. </w:t>
            </w:r>
            <w:r w:rsidRPr="00FB7728">
              <w:rPr>
                <w:rFonts w:ascii="Bookman Old Style" w:hAnsi="Bookman Old Style"/>
                <w:sz w:val="22"/>
              </w:rPr>
              <w:br/>
            </w:r>
            <w:r w:rsidRPr="00FB7728">
              <w:rPr>
                <w:rFonts w:ascii="Bookman Old Style" w:hAnsi="Bookman Old Style"/>
                <w:sz w:val="22"/>
              </w:rPr>
              <w:br/>
              <w:t xml:space="preserve">Fodsår kan være meget smertefulde, men ofte er der ingen smerter pga. manglende smertesans som følge af nervebetændelsen. Sårene kan blive betændte, og infektionen </w:t>
            </w:r>
            <w:r w:rsidRPr="00FB7728">
              <w:rPr>
                <w:rFonts w:ascii="Bookman Old Style" w:hAnsi="Bookman Old Style"/>
                <w:sz w:val="22"/>
              </w:rPr>
              <w:lastRenderedPageBreak/>
              <w:t xml:space="preserve">kan spredes til resten af kroppen. Hvis kredsløbet er meget nedsat, risikerer man at der opstår koldbrand. </w:t>
            </w:r>
            <w:r w:rsidRPr="00FB7728">
              <w:rPr>
                <w:rFonts w:ascii="Bookman Old Style" w:hAnsi="Bookman Old Style"/>
                <w:sz w:val="22"/>
              </w:rPr>
              <w:br/>
            </w:r>
            <w:r w:rsidRPr="00FB7728">
              <w:rPr>
                <w:rFonts w:ascii="Bookman Old Style" w:hAnsi="Bookman Old Style"/>
                <w:sz w:val="22"/>
              </w:rPr>
              <w:br/>
              <w:t xml:space="preserve">Nedsat følesans, og kolde fødder med bleg og glat hud samt sparsom behåring, tyder dels på nervebetændelse og dels på nedsat kredsløb og er en advarsel om, at der er øget risiko for at få fodsår. </w:t>
            </w:r>
            <w:r w:rsidRPr="00FB7728">
              <w:rPr>
                <w:rFonts w:ascii="Bookman Old Style" w:hAnsi="Bookman Old Style"/>
                <w:sz w:val="22"/>
              </w:rPr>
              <w:br/>
            </w:r>
            <w:r w:rsidRPr="00FB7728">
              <w:rPr>
                <w:rFonts w:ascii="Bookman Old Style" w:hAnsi="Bookman Old Style"/>
                <w:sz w:val="22"/>
              </w:rPr>
              <w:br/>
              <w:t xml:space="preserve">Man kan ikke afvise, at det er begyndende nervebetændelse. Dog er det usædvanligt med en pludselig konstant uro eller smerte, for som regel kommer det snigende over måneder. Men det kan forholdsvis hurtigt undersøges, idet man med et Bio-Thesiometer kan måle vibrationssansen. </w:t>
            </w:r>
            <w:r w:rsidRPr="00FB7728">
              <w:rPr>
                <w:rFonts w:ascii="Bookman Old Style" w:hAnsi="Bookman Old Style"/>
                <w:sz w:val="22"/>
              </w:rPr>
              <w:br/>
            </w:r>
            <w:r w:rsidRPr="00FB7728">
              <w:rPr>
                <w:rFonts w:ascii="Bookman Old Style" w:hAnsi="Bookman Old Style"/>
                <w:sz w:val="22"/>
              </w:rPr>
              <w:br/>
              <w:t>Vibrationssansen er kun en af fire følesanser, de andre er stillingssans, smertesans og temperatursansen. Hvis der er en påvirkning af vibrationssansen, er der ofte en lignende påvirkning af de andre tre, de er bare sværere at måle. En påvirkning af smertesansen kan føles som uro eller smerte.</w:t>
            </w:r>
          </w:p>
          <w:p w14:paraId="58352BEA" w14:textId="37553E77" w:rsidR="00C145A6" w:rsidRPr="00FB7728" w:rsidRDefault="00C053EF">
            <w:pPr>
              <w:rPr>
                <w:rFonts w:ascii="Bookman Old Style" w:hAnsi="Bookman Old Style"/>
                <w:sz w:val="22"/>
              </w:rPr>
            </w:pPr>
            <w:r>
              <w:rPr>
                <w:rFonts w:ascii="Bookman Old Style" w:hAnsi="Bookman Old Style"/>
                <w:sz w:val="22"/>
              </w:rPr>
              <w:t>I</w:t>
            </w:r>
            <w:r w:rsidR="00C145A6" w:rsidRPr="00FB7728">
              <w:rPr>
                <w:rFonts w:ascii="Bookman Old Style" w:hAnsi="Bookman Old Style"/>
                <w:sz w:val="22"/>
              </w:rPr>
              <w:t xml:space="preserve">mportør for Skandinavien af Danmarks mest brugte Bio-Thesiometer er </w:t>
            </w:r>
            <w:r w:rsidR="00DB6AA7" w:rsidRPr="00FB7728">
              <w:rPr>
                <w:rFonts w:ascii="Bookman Old Style" w:hAnsi="Bookman Old Style"/>
                <w:b/>
                <w:i/>
                <w:sz w:val="22"/>
              </w:rPr>
              <w:t>Kallistos Equipment</w:t>
            </w:r>
            <w:r w:rsidR="00C145A6" w:rsidRPr="00FB7728">
              <w:rPr>
                <w:rFonts w:ascii="Bookman Old Style" w:hAnsi="Bookman Old Style"/>
                <w:b/>
                <w:i/>
                <w:sz w:val="22"/>
              </w:rPr>
              <w:t xml:space="preserve">. </w:t>
            </w:r>
            <w:r w:rsidR="00C145A6" w:rsidRPr="00FB7728">
              <w:rPr>
                <w:rFonts w:ascii="Bookman Old Style" w:hAnsi="Bookman Old Style"/>
                <w:sz w:val="22"/>
              </w:rPr>
              <w:t xml:space="preserve">    </w:t>
            </w:r>
          </w:p>
          <w:p w14:paraId="0AE296BD" w14:textId="77777777" w:rsidR="00C145A6" w:rsidRPr="00FB7728" w:rsidRDefault="00C145A6">
            <w:pPr>
              <w:rPr>
                <w:rFonts w:ascii="Bookman Old Style" w:hAnsi="Bookman Old Style"/>
                <w:sz w:val="22"/>
              </w:rPr>
            </w:pPr>
            <w:r w:rsidRPr="00FB7728">
              <w:rPr>
                <w:rFonts w:ascii="Bookman Old Style" w:hAnsi="Bookman Old Style"/>
                <w:sz w:val="22"/>
              </w:rPr>
              <w:t>Yderligere oplysninger kan indhentes på telefon</w:t>
            </w:r>
            <w:r w:rsidR="00DB6AA7" w:rsidRPr="00FB7728">
              <w:rPr>
                <w:rFonts w:ascii="Bookman Old Style" w:hAnsi="Bookman Old Style"/>
                <w:sz w:val="22"/>
              </w:rPr>
              <w:t xml:space="preserve"> 39272319 eller</w:t>
            </w:r>
            <w:r w:rsidRPr="00FB7728">
              <w:rPr>
                <w:rFonts w:ascii="Bookman Old Style" w:hAnsi="Bookman Old Style"/>
                <w:sz w:val="22"/>
              </w:rPr>
              <w:t xml:space="preserve"> 3976 1140, </w:t>
            </w:r>
          </w:p>
          <w:p w14:paraId="31BD8543" w14:textId="77777777" w:rsidR="00C145A6" w:rsidRPr="00FB7728" w:rsidRDefault="00C145A6">
            <w:pPr>
              <w:rPr>
                <w:rFonts w:ascii="Bookman Old Style" w:hAnsi="Bookman Old Style"/>
                <w:sz w:val="22"/>
              </w:rPr>
            </w:pPr>
            <w:r w:rsidRPr="00FB7728">
              <w:rPr>
                <w:rFonts w:ascii="Bookman Old Style" w:hAnsi="Bookman Old Style"/>
                <w:sz w:val="22"/>
              </w:rPr>
              <w:t xml:space="preserve">e-mail: </w:t>
            </w:r>
            <w:hyperlink r:id="rId7" w:history="1">
              <w:r w:rsidRPr="00FB7728">
                <w:rPr>
                  <w:rStyle w:val="Hyperlink"/>
                  <w:rFonts w:ascii="Bookman Old Style" w:hAnsi="Bookman Old Style"/>
                  <w:sz w:val="22"/>
                </w:rPr>
                <w:t>info@kallistos.dk</w:t>
              </w:r>
            </w:hyperlink>
            <w:r w:rsidRPr="00FB7728">
              <w:rPr>
                <w:rFonts w:ascii="Bookman Old Style" w:hAnsi="Bookman Old Style"/>
                <w:sz w:val="22"/>
              </w:rPr>
              <w:t xml:space="preserve"> .dk, hvor der også kan rekvireres resultater af offentliggjort videnskabelig dokumentation.</w:t>
            </w:r>
          </w:p>
          <w:p w14:paraId="4EAE2272" w14:textId="77777777" w:rsidR="00C145A6" w:rsidRPr="00FB7728" w:rsidRDefault="00C145A6">
            <w:pPr>
              <w:rPr>
                <w:rFonts w:ascii="Bookman Old Style" w:hAnsi="Bookman Old Style"/>
                <w:sz w:val="22"/>
              </w:rPr>
            </w:pPr>
          </w:p>
          <w:p w14:paraId="096C57B8" w14:textId="77777777" w:rsidR="00C145A6" w:rsidRPr="00FB7728" w:rsidRDefault="00C145A6">
            <w:pPr>
              <w:rPr>
                <w:rFonts w:ascii="Bookman Old Style" w:hAnsi="Bookman Old Style"/>
                <w:sz w:val="22"/>
              </w:rPr>
            </w:pPr>
          </w:p>
          <w:p w14:paraId="1C6DDB54" w14:textId="77777777" w:rsidR="00C145A6" w:rsidRPr="00FB7728" w:rsidRDefault="00C145A6">
            <w:pPr>
              <w:rPr>
                <w:rFonts w:ascii="Bookman Old Style" w:hAnsi="Bookman Old Style"/>
                <w:sz w:val="22"/>
              </w:rPr>
            </w:pPr>
          </w:p>
        </w:tc>
      </w:tr>
    </w:tbl>
    <w:p w14:paraId="4317A1FB" w14:textId="77777777" w:rsidR="00C145A6" w:rsidRDefault="00C145A6">
      <w:pPr>
        <w:rPr>
          <w:rFonts w:ascii="Bookman Old Style" w:hAnsi="Bookman Old Style"/>
          <w:sz w:val="22"/>
        </w:rPr>
      </w:pPr>
    </w:p>
    <w:sectPr w:rsidR="00C145A6">
      <w:pgSz w:w="11906" w:h="16838"/>
      <w:pgMar w:top="1417" w:right="1273" w:bottom="1134" w:left="1273" w:header="1440" w:footer="1440"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ookman Old Style">
    <w:panose1 w:val="02050604050505020204"/>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6625EC7"/>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16cid:durableId="4168247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6AA7"/>
    <w:rsid w:val="0014520E"/>
    <w:rsid w:val="002E6C3C"/>
    <w:rsid w:val="003A3EAD"/>
    <w:rsid w:val="003F193C"/>
    <w:rsid w:val="00476228"/>
    <w:rsid w:val="004B46EB"/>
    <w:rsid w:val="00970528"/>
    <w:rsid w:val="00C053EF"/>
    <w:rsid w:val="00C145A6"/>
    <w:rsid w:val="00CA26BE"/>
    <w:rsid w:val="00DB6AA7"/>
    <w:rsid w:val="00E269B2"/>
    <w:rsid w:val="00FA0028"/>
    <w:rsid w:val="00FB772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9BAD06"/>
  <w15:chartTrackingRefBased/>
  <w15:docId w15:val="{6F0ED0A0-D87A-4ED7-A85E-3F430C987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5A6"/>
    <w:pPr>
      <w:spacing w:before="100" w:after="200" w:line="276" w:lineRule="auto"/>
    </w:pPr>
  </w:style>
  <w:style w:type="paragraph" w:styleId="Overskrift1">
    <w:name w:val="heading 1"/>
    <w:basedOn w:val="Normal"/>
    <w:next w:val="Normal"/>
    <w:link w:val="Overskrift1Tegn"/>
    <w:uiPriority w:val="9"/>
    <w:qFormat/>
    <w:rsid w:val="00C145A6"/>
    <w:pPr>
      <w:pBdr>
        <w:top w:val="single" w:sz="24" w:space="0" w:color="5B9BD5"/>
        <w:left w:val="single" w:sz="24" w:space="0" w:color="5B9BD5"/>
        <w:bottom w:val="single" w:sz="24" w:space="0" w:color="5B9BD5"/>
        <w:right w:val="single" w:sz="24" w:space="0" w:color="5B9BD5"/>
      </w:pBdr>
      <w:shd w:val="clear" w:color="auto" w:fill="5B9BD5"/>
      <w:spacing w:after="0"/>
      <w:outlineLvl w:val="0"/>
    </w:pPr>
    <w:rPr>
      <w:caps/>
      <w:color w:val="FFFFFF"/>
      <w:spacing w:val="15"/>
      <w:sz w:val="22"/>
      <w:szCs w:val="22"/>
    </w:rPr>
  </w:style>
  <w:style w:type="paragraph" w:styleId="Overskrift2">
    <w:name w:val="heading 2"/>
    <w:basedOn w:val="Normal"/>
    <w:next w:val="Normal"/>
    <w:link w:val="Overskrift2Tegn"/>
    <w:uiPriority w:val="9"/>
    <w:semiHidden/>
    <w:unhideWhenUsed/>
    <w:qFormat/>
    <w:rsid w:val="00C145A6"/>
    <w:pPr>
      <w:pBdr>
        <w:top w:val="single" w:sz="24" w:space="0" w:color="DEEAF6"/>
        <w:left w:val="single" w:sz="24" w:space="0" w:color="DEEAF6"/>
        <w:bottom w:val="single" w:sz="24" w:space="0" w:color="DEEAF6"/>
        <w:right w:val="single" w:sz="24" w:space="0" w:color="DEEAF6"/>
      </w:pBdr>
      <w:shd w:val="clear" w:color="auto" w:fill="DEEAF6"/>
      <w:spacing w:after="0"/>
      <w:outlineLvl w:val="1"/>
    </w:pPr>
    <w:rPr>
      <w:caps/>
      <w:spacing w:val="15"/>
    </w:rPr>
  </w:style>
  <w:style w:type="paragraph" w:styleId="Overskrift3">
    <w:name w:val="heading 3"/>
    <w:basedOn w:val="Normal"/>
    <w:next w:val="Normal"/>
    <w:link w:val="Overskrift3Tegn"/>
    <w:uiPriority w:val="9"/>
    <w:semiHidden/>
    <w:unhideWhenUsed/>
    <w:qFormat/>
    <w:rsid w:val="00C145A6"/>
    <w:pPr>
      <w:pBdr>
        <w:top w:val="single" w:sz="6" w:space="2" w:color="5B9BD5"/>
      </w:pBdr>
      <w:spacing w:before="300" w:after="0"/>
      <w:outlineLvl w:val="2"/>
    </w:pPr>
    <w:rPr>
      <w:caps/>
      <w:color w:val="1F4D78"/>
      <w:spacing w:val="15"/>
    </w:rPr>
  </w:style>
  <w:style w:type="paragraph" w:styleId="Overskrift4">
    <w:name w:val="heading 4"/>
    <w:basedOn w:val="Normal"/>
    <w:next w:val="Normal"/>
    <w:link w:val="Overskrift4Tegn"/>
    <w:uiPriority w:val="9"/>
    <w:semiHidden/>
    <w:unhideWhenUsed/>
    <w:qFormat/>
    <w:rsid w:val="00C145A6"/>
    <w:pPr>
      <w:pBdr>
        <w:top w:val="dotted" w:sz="6" w:space="2" w:color="5B9BD5"/>
      </w:pBdr>
      <w:spacing w:before="200" w:after="0"/>
      <w:outlineLvl w:val="3"/>
    </w:pPr>
    <w:rPr>
      <w:caps/>
      <w:color w:val="2E74B5"/>
      <w:spacing w:val="10"/>
    </w:rPr>
  </w:style>
  <w:style w:type="paragraph" w:styleId="Overskrift5">
    <w:name w:val="heading 5"/>
    <w:basedOn w:val="Normal"/>
    <w:next w:val="Normal"/>
    <w:link w:val="Overskrift5Tegn"/>
    <w:uiPriority w:val="9"/>
    <w:semiHidden/>
    <w:unhideWhenUsed/>
    <w:qFormat/>
    <w:rsid w:val="00C145A6"/>
    <w:pPr>
      <w:pBdr>
        <w:bottom w:val="single" w:sz="6" w:space="1" w:color="5B9BD5"/>
      </w:pBdr>
      <w:spacing w:before="200" w:after="0"/>
      <w:outlineLvl w:val="4"/>
    </w:pPr>
    <w:rPr>
      <w:caps/>
      <w:color w:val="2E74B5"/>
      <w:spacing w:val="10"/>
    </w:rPr>
  </w:style>
  <w:style w:type="paragraph" w:styleId="Overskrift6">
    <w:name w:val="heading 6"/>
    <w:basedOn w:val="Normal"/>
    <w:next w:val="Normal"/>
    <w:link w:val="Overskrift6Tegn"/>
    <w:uiPriority w:val="9"/>
    <w:semiHidden/>
    <w:unhideWhenUsed/>
    <w:qFormat/>
    <w:rsid w:val="00C145A6"/>
    <w:pPr>
      <w:pBdr>
        <w:bottom w:val="dotted" w:sz="6" w:space="1" w:color="5B9BD5"/>
      </w:pBdr>
      <w:spacing w:before="200" w:after="0"/>
      <w:outlineLvl w:val="5"/>
    </w:pPr>
    <w:rPr>
      <w:caps/>
      <w:color w:val="2E74B5"/>
      <w:spacing w:val="10"/>
    </w:rPr>
  </w:style>
  <w:style w:type="paragraph" w:styleId="Overskrift7">
    <w:name w:val="heading 7"/>
    <w:basedOn w:val="Normal"/>
    <w:next w:val="Normal"/>
    <w:link w:val="Overskrift7Tegn"/>
    <w:uiPriority w:val="9"/>
    <w:semiHidden/>
    <w:unhideWhenUsed/>
    <w:qFormat/>
    <w:rsid w:val="00C145A6"/>
    <w:pPr>
      <w:spacing w:before="200" w:after="0"/>
      <w:outlineLvl w:val="6"/>
    </w:pPr>
    <w:rPr>
      <w:caps/>
      <w:color w:val="2E74B5"/>
      <w:spacing w:val="10"/>
    </w:rPr>
  </w:style>
  <w:style w:type="paragraph" w:styleId="Overskrift8">
    <w:name w:val="heading 8"/>
    <w:basedOn w:val="Normal"/>
    <w:next w:val="Normal"/>
    <w:link w:val="Overskrift8Tegn"/>
    <w:uiPriority w:val="9"/>
    <w:semiHidden/>
    <w:unhideWhenUsed/>
    <w:qFormat/>
    <w:rsid w:val="00C145A6"/>
    <w:pPr>
      <w:spacing w:before="200" w:after="0"/>
      <w:outlineLvl w:val="7"/>
    </w:pPr>
    <w:rPr>
      <w:caps/>
      <w:spacing w:val="10"/>
      <w:sz w:val="18"/>
      <w:szCs w:val="18"/>
    </w:rPr>
  </w:style>
  <w:style w:type="paragraph" w:styleId="Overskrift9">
    <w:name w:val="heading 9"/>
    <w:basedOn w:val="Normal"/>
    <w:next w:val="Normal"/>
    <w:link w:val="Overskrift9Tegn"/>
    <w:uiPriority w:val="9"/>
    <w:semiHidden/>
    <w:unhideWhenUsed/>
    <w:qFormat/>
    <w:rsid w:val="00C145A6"/>
    <w:pPr>
      <w:spacing w:before="200" w:after="0"/>
      <w:outlineLvl w:val="8"/>
    </w:pPr>
    <w:rPr>
      <w:i/>
      <w:iCs/>
      <w:caps/>
      <w:spacing w:val="10"/>
      <w:sz w:val="18"/>
      <w:szCs w:val="1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semiHidden/>
    <w:rPr>
      <w:color w:val="0000FF"/>
      <w:u w:val="single"/>
    </w:rPr>
  </w:style>
  <w:style w:type="character" w:customStyle="1" w:styleId="Overskrift1Tegn">
    <w:name w:val="Overskrift 1 Tegn"/>
    <w:link w:val="Overskrift1"/>
    <w:uiPriority w:val="9"/>
    <w:rsid w:val="00C145A6"/>
    <w:rPr>
      <w:caps/>
      <w:color w:val="FFFFFF"/>
      <w:spacing w:val="15"/>
      <w:sz w:val="22"/>
      <w:szCs w:val="22"/>
      <w:shd w:val="clear" w:color="auto" w:fill="5B9BD5"/>
    </w:rPr>
  </w:style>
  <w:style w:type="character" w:customStyle="1" w:styleId="Overskrift2Tegn">
    <w:name w:val="Overskrift 2 Tegn"/>
    <w:link w:val="Overskrift2"/>
    <w:uiPriority w:val="9"/>
    <w:semiHidden/>
    <w:rsid w:val="00C145A6"/>
    <w:rPr>
      <w:caps/>
      <w:spacing w:val="15"/>
      <w:shd w:val="clear" w:color="auto" w:fill="DEEAF6"/>
    </w:rPr>
  </w:style>
  <w:style w:type="character" w:customStyle="1" w:styleId="Overskrift3Tegn">
    <w:name w:val="Overskrift 3 Tegn"/>
    <w:link w:val="Overskrift3"/>
    <w:uiPriority w:val="9"/>
    <w:semiHidden/>
    <w:rsid w:val="00C145A6"/>
    <w:rPr>
      <w:caps/>
      <w:color w:val="1F4D78"/>
      <w:spacing w:val="15"/>
    </w:rPr>
  </w:style>
  <w:style w:type="character" w:customStyle="1" w:styleId="Overskrift4Tegn">
    <w:name w:val="Overskrift 4 Tegn"/>
    <w:link w:val="Overskrift4"/>
    <w:uiPriority w:val="9"/>
    <w:semiHidden/>
    <w:rsid w:val="00C145A6"/>
    <w:rPr>
      <w:caps/>
      <w:color w:val="2E74B5"/>
      <w:spacing w:val="10"/>
    </w:rPr>
  </w:style>
  <w:style w:type="character" w:customStyle="1" w:styleId="Overskrift5Tegn">
    <w:name w:val="Overskrift 5 Tegn"/>
    <w:link w:val="Overskrift5"/>
    <w:uiPriority w:val="9"/>
    <w:semiHidden/>
    <w:rsid w:val="00C145A6"/>
    <w:rPr>
      <w:caps/>
      <w:color w:val="2E74B5"/>
      <w:spacing w:val="10"/>
    </w:rPr>
  </w:style>
  <w:style w:type="character" w:customStyle="1" w:styleId="Overskrift6Tegn">
    <w:name w:val="Overskrift 6 Tegn"/>
    <w:link w:val="Overskrift6"/>
    <w:uiPriority w:val="9"/>
    <w:semiHidden/>
    <w:rsid w:val="00C145A6"/>
    <w:rPr>
      <w:caps/>
      <w:color w:val="2E74B5"/>
      <w:spacing w:val="10"/>
    </w:rPr>
  </w:style>
  <w:style w:type="character" w:customStyle="1" w:styleId="Overskrift7Tegn">
    <w:name w:val="Overskrift 7 Tegn"/>
    <w:link w:val="Overskrift7"/>
    <w:uiPriority w:val="9"/>
    <w:semiHidden/>
    <w:rsid w:val="00C145A6"/>
    <w:rPr>
      <w:caps/>
      <w:color w:val="2E74B5"/>
      <w:spacing w:val="10"/>
    </w:rPr>
  </w:style>
  <w:style w:type="character" w:customStyle="1" w:styleId="Overskrift8Tegn">
    <w:name w:val="Overskrift 8 Tegn"/>
    <w:link w:val="Overskrift8"/>
    <w:uiPriority w:val="9"/>
    <w:semiHidden/>
    <w:rsid w:val="00C145A6"/>
    <w:rPr>
      <w:caps/>
      <w:spacing w:val="10"/>
      <w:sz w:val="18"/>
      <w:szCs w:val="18"/>
    </w:rPr>
  </w:style>
  <w:style w:type="character" w:customStyle="1" w:styleId="Overskrift9Tegn">
    <w:name w:val="Overskrift 9 Tegn"/>
    <w:link w:val="Overskrift9"/>
    <w:uiPriority w:val="9"/>
    <w:semiHidden/>
    <w:rsid w:val="00C145A6"/>
    <w:rPr>
      <w:i/>
      <w:iCs/>
      <w:caps/>
      <w:spacing w:val="10"/>
      <w:sz w:val="18"/>
      <w:szCs w:val="18"/>
    </w:rPr>
  </w:style>
  <w:style w:type="paragraph" w:styleId="Billedtekst">
    <w:name w:val="caption"/>
    <w:basedOn w:val="Normal"/>
    <w:next w:val="Normal"/>
    <w:uiPriority w:val="35"/>
    <w:semiHidden/>
    <w:unhideWhenUsed/>
    <w:qFormat/>
    <w:rsid w:val="00C145A6"/>
    <w:rPr>
      <w:b/>
      <w:bCs/>
      <w:color w:val="2E74B5"/>
      <w:sz w:val="16"/>
      <w:szCs w:val="16"/>
    </w:rPr>
  </w:style>
  <w:style w:type="paragraph" w:styleId="Titel">
    <w:name w:val="Title"/>
    <w:basedOn w:val="Normal"/>
    <w:next w:val="Normal"/>
    <w:link w:val="TitelTegn"/>
    <w:uiPriority w:val="10"/>
    <w:qFormat/>
    <w:rsid w:val="00C145A6"/>
    <w:pPr>
      <w:spacing w:before="0" w:after="0"/>
    </w:pPr>
    <w:rPr>
      <w:rFonts w:ascii="Calibri Light" w:eastAsia="SimSun" w:hAnsi="Calibri Light"/>
      <w:caps/>
      <w:color w:val="5B9BD5"/>
      <w:spacing w:val="10"/>
      <w:sz w:val="52"/>
      <w:szCs w:val="52"/>
    </w:rPr>
  </w:style>
  <w:style w:type="character" w:customStyle="1" w:styleId="TitelTegn">
    <w:name w:val="Titel Tegn"/>
    <w:link w:val="Titel"/>
    <w:uiPriority w:val="10"/>
    <w:rsid w:val="00C145A6"/>
    <w:rPr>
      <w:rFonts w:ascii="Calibri Light" w:eastAsia="SimSun" w:hAnsi="Calibri Light" w:cs="Times New Roman"/>
      <w:caps/>
      <w:color w:val="5B9BD5"/>
      <w:spacing w:val="10"/>
      <w:sz w:val="52"/>
      <w:szCs w:val="52"/>
    </w:rPr>
  </w:style>
  <w:style w:type="paragraph" w:styleId="Undertitel">
    <w:name w:val="Subtitle"/>
    <w:basedOn w:val="Normal"/>
    <w:next w:val="Normal"/>
    <w:link w:val="UndertitelTegn"/>
    <w:uiPriority w:val="11"/>
    <w:qFormat/>
    <w:rsid w:val="00C145A6"/>
    <w:pPr>
      <w:spacing w:before="0" w:after="500" w:line="240" w:lineRule="auto"/>
    </w:pPr>
    <w:rPr>
      <w:caps/>
      <w:color w:val="595959"/>
      <w:spacing w:val="10"/>
      <w:sz w:val="21"/>
      <w:szCs w:val="21"/>
    </w:rPr>
  </w:style>
  <w:style w:type="character" w:customStyle="1" w:styleId="UndertitelTegn">
    <w:name w:val="Undertitel Tegn"/>
    <w:link w:val="Undertitel"/>
    <w:uiPriority w:val="11"/>
    <w:rsid w:val="00C145A6"/>
    <w:rPr>
      <w:caps/>
      <w:color w:val="595959"/>
      <w:spacing w:val="10"/>
      <w:sz w:val="21"/>
      <w:szCs w:val="21"/>
    </w:rPr>
  </w:style>
  <w:style w:type="character" w:styleId="Strk">
    <w:name w:val="Strong"/>
    <w:uiPriority w:val="22"/>
    <w:qFormat/>
    <w:rsid w:val="00C145A6"/>
    <w:rPr>
      <w:b/>
      <w:bCs/>
    </w:rPr>
  </w:style>
  <w:style w:type="character" w:styleId="Fremhv">
    <w:name w:val="Emphasis"/>
    <w:uiPriority w:val="20"/>
    <w:qFormat/>
    <w:rsid w:val="00C145A6"/>
    <w:rPr>
      <w:caps/>
      <w:color w:val="1F4D78"/>
      <w:spacing w:val="5"/>
    </w:rPr>
  </w:style>
  <w:style w:type="paragraph" w:styleId="Ingenafstand">
    <w:name w:val="No Spacing"/>
    <w:uiPriority w:val="1"/>
    <w:qFormat/>
    <w:rsid w:val="00C145A6"/>
    <w:pPr>
      <w:spacing w:before="100"/>
    </w:pPr>
  </w:style>
  <w:style w:type="paragraph" w:styleId="Citat">
    <w:name w:val="Quote"/>
    <w:basedOn w:val="Normal"/>
    <w:next w:val="Normal"/>
    <w:link w:val="CitatTegn"/>
    <w:uiPriority w:val="29"/>
    <w:qFormat/>
    <w:rsid w:val="00C145A6"/>
    <w:rPr>
      <w:i/>
      <w:iCs/>
      <w:sz w:val="24"/>
      <w:szCs w:val="24"/>
    </w:rPr>
  </w:style>
  <w:style w:type="character" w:customStyle="1" w:styleId="CitatTegn">
    <w:name w:val="Citat Tegn"/>
    <w:link w:val="Citat"/>
    <w:uiPriority w:val="29"/>
    <w:rsid w:val="00C145A6"/>
    <w:rPr>
      <w:i/>
      <w:iCs/>
      <w:sz w:val="24"/>
      <w:szCs w:val="24"/>
    </w:rPr>
  </w:style>
  <w:style w:type="paragraph" w:styleId="Strktcitat">
    <w:name w:val="Intense Quote"/>
    <w:basedOn w:val="Normal"/>
    <w:next w:val="Normal"/>
    <w:link w:val="StrktcitatTegn"/>
    <w:uiPriority w:val="30"/>
    <w:qFormat/>
    <w:rsid w:val="00C145A6"/>
    <w:pPr>
      <w:spacing w:before="240" w:after="240" w:line="240" w:lineRule="auto"/>
      <w:ind w:left="1080" w:right="1080"/>
      <w:jc w:val="center"/>
    </w:pPr>
    <w:rPr>
      <w:color w:val="5B9BD5"/>
      <w:sz w:val="24"/>
      <w:szCs w:val="24"/>
    </w:rPr>
  </w:style>
  <w:style w:type="character" w:customStyle="1" w:styleId="StrktcitatTegn">
    <w:name w:val="Stærkt citat Tegn"/>
    <w:link w:val="Strktcitat"/>
    <w:uiPriority w:val="30"/>
    <w:rsid w:val="00C145A6"/>
    <w:rPr>
      <w:color w:val="5B9BD5"/>
      <w:sz w:val="24"/>
      <w:szCs w:val="24"/>
    </w:rPr>
  </w:style>
  <w:style w:type="character" w:styleId="Svagfremhvning">
    <w:name w:val="Subtle Emphasis"/>
    <w:uiPriority w:val="19"/>
    <w:qFormat/>
    <w:rsid w:val="00C145A6"/>
    <w:rPr>
      <w:i/>
      <w:iCs/>
      <w:color w:val="1F4D78"/>
    </w:rPr>
  </w:style>
  <w:style w:type="character" w:styleId="Kraftigfremhvning">
    <w:name w:val="Intense Emphasis"/>
    <w:uiPriority w:val="21"/>
    <w:qFormat/>
    <w:rsid w:val="00C145A6"/>
    <w:rPr>
      <w:b/>
      <w:bCs/>
      <w:caps/>
      <w:color w:val="1F4D78"/>
      <w:spacing w:val="10"/>
    </w:rPr>
  </w:style>
  <w:style w:type="character" w:styleId="Svaghenvisning">
    <w:name w:val="Subtle Reference"/>
    <w:uiPriority w:val="31"/>
    <w:qFormat/>
    <w:rsid w:val="00C145A6"/>
    <w:rPr>
      <w:b/>
      <w:bCs/>
      <w:color w:val="5B9BD5"/>
    </w:rPr>
  </w:style>
  <w:style w:type="character" w:styleId="Kraftighenvisning">
    <w:name w:val="Intense Reference"/>
    <w:uiPriority w:val="32"/>
    <w:qFormat/>
    <w:rsid w:val="00C145A6"/>
    <w:rPr>
      <w:b/>
      <w:bCs/>
      <w:i/>
      <w:iCs/>
      <w:caps/>
      <w:color w:val="5B9BD5"/>
    </w:rPr>
  </w:style>
  <w:style w:type="character" w:styleId="Bogenstitel">
    <w:name w:val="Book Title"/>
    <w:uiPriority w:val="33"/>
    <w:qFormat/>
    <w:rsid w:val="00C145A6"/>
    <w:rPr>
      <w:b/>
      <w:bCs/>
      <w:i/>
      <w:iCs/>
      <w:spacing w:val="0"/>
    </w:rPr>
  </w:style>
  <w:style w:type="paragraph" w:styleId="Overskrift">
    <w:name w:val="TOC Heading"/>
    <w:basedOn w:val="Overskrift1"/>
    <w:next w:val="Normal"/>
    <w:uiPriority w:val="39"/>
    <w:semiHidden/>
    <w:unhideWhenUsed/>
    <w:qFormat/>
    <w:rsid w:val="00C145A6"/>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info@kallistos.d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BCD44C-823D-4C73-9878-2F9D9D209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Pages>
  <Words>660</Words>
  <Characters>4026</Characters>
  <Application>Microsoft Office Word</Application>
  <DocSecurity>0</DocSecurity>
  <Lines>33</Lines>
  <Paragraphs>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Bio-thesiometer</vt:lpstr>
      <vt:lpstr> Bio-thesiometer</vt:lpstr>
    </vt:vector>
  </TitlesOfParts>
  <Company>ABCDEFG</Company>
  <LinksUpToDate>false</LinksUpToDate>
  <CharactersWithSpaces>4677</CharactersWithSpaces>
  <SharedDoc>false</SharedDoc>
  <HLinks>
    <vt:vector size="6" baseType="variant">
      <vt:variant>
        <vt:i4>7929926</vt:i4>
      </vt:variant>
      <vt:variant>
        <vt:i4>3</vt:i4>
      </vt:variant>
      <vt:variant>
        <vt:i4>0</vt:i4>
      </vt:variant>
      <vt:variant>
        <vt:i4>5</vt:i4>
      </vt:variant>
      <vt:variant>
        <vt:lpwstr>mailto:info@kallistos.dk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Bio-thesiometer</dc:title>
  <dc:subject/>
  <dc:creator>Frederikke Jensen</dc:creator>
  <cp:keywords/>
  <dc:description/>
  <cp:lastModifiedBy>Cg - KALLISTOS EQUIPMENT V/CHRISTIAN GAMMELJORD</cp:lastModifiedBy>
  <cp:revision>5</cp:revision>
  <cp:lastPrinted>2024-10-15T10:27:00Z</cp:lastPrinted>
  <dcterms:created xsi:type="dcterms:W3CDTF">2024-10-15T10:18:00Z</dcterms:created>
  <dcterms:modified xsi:type="dcterms:W3CDTF">2024-10-15T10:35:00Z</dcterms:modified>
</cp:coreProperties>
</file>